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中华人民共和国农业农村部公告 第250号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微软雅黑" w:hAnsi="微软雅黑" w:eastAsia="微软雅黑" w:cs="微软雅黑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为进一步规范养殖用药行为，保障动物源性食品安全，根据《兽药管理条例》有关规定，我部修订了食品动物中禁止使用的药品及其他化合物清单，现予以发布，自发布之日起施行。食品动物中禁止使用的药品及其他化合物以本清单为准，原农业部公告第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/>
        </w:rPr>
        <w:t>193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号、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/>
        </w:rPr>
        <w:t>235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号、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/>
        </w:rPr>
        <w:t>560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号等文件中的相关内容同时废止。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   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附件：食品动物中禁止使用的药品及其他化合物清单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/>
        </w:rPr>
        <w:t>          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5760" w:right="0" w:hanging="5760" w:hangingChars="1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                                         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农业农村部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           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  <w:lang w:val="en-US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</w:rPr>
        <w:t> 　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bdr w:val="none" w:color="auto" w:sz="0" w:space="0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36"/>
          <w:szCs w:val="36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sz w:val="36"/>
          <w:szCs w:val="36"/>
          <w:bdr w:val="none" w:color="auto" w:sz="0" w:space="0"/>
        </w:rPr>
        <w:t>食品动物中禁止使用的药品及其他化合物清单</w:t>
      </w:r>
    </w:p>
    <w:tbl>
      <w:tblPr>
        <w:tblW w:w="831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750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bdr w:val="none" w:color="auto" w:sz="0" w:space="0"/>
              </w:rPr>
              <w:t>序号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bdr w:val="none" w:color="auto" w:sz="0" w:space="0"/>
              </w:rPr>
              <w:t>药品及其他化合物名称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酒石酸锑钾（Antimony potassium tartrate）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β-兴奋剂（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  <w:t>β-agonists)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类及其盐、酯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汞制剂：氯化亚汞（甘汞）（Calomel）、醋酸汞（Mercurous acetate）、硝酸亚汞（Mercurous nitrate）、吡啶基醋酸汞（Pyridyl mercurous acetate）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毒杀芬（氯化烯）（Camahechlor）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卡巴氧（Carbadox）及其盐、酯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呋喃丹（克百威）（Carbofuran）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氯霉素（Chloramphenicol）及其盐、酯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杀虫脒（克死螨）（Chlordimeform）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氨苯砜（Dapsone）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硝基呋喃类：呋喃西林（Furacilinum）、呋喃妥因（Furadantin）、呋喃它酮（Furaltadone）、呋喃唑酮（Furazolidone）、呋喃苯烯酸钠（Nifurstyrenate sodium）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林丹（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  <w:lang w:val="fr"/>
              </w:rPr>
              <w:t>Lindane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孔雀石绿（Malachite green）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类固醇激素：醋酸美仑孕酮（Melengestrol Acetate）、甲基睾丸酮（Methyltestosterone）、群勃龙（去甲雄三烯醇酮）（Trenbolone）、玉米赤霉醇（Zeranal）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安眠酮（Methaqualone）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硝呋烯腙（Nitrovin）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五氯酚酸钠（Pentachlorophenol sodium）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硝基咪唑类：洛硝达唑（Ronidazole）、替硝唑（Tinidazole）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硝基酚钠（Sodium nitrophenolate）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己二烯雌酚（Dienoestrol）、己烯雌酚（Diethylstilbestrol）、己烷雌酚（Hexoestrol）及其盐、酯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锥虫砷胺（Tryparsamile）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  <w:tc>
          <w:tcPr>
            <w:tcW w:w="75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bdr w:val="none" w:color="auto" w:sz="0" w:space="0"/>
              </w:rPr>
              <w:t>万古霉素（Vancomycin）及其盐、酯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74C97"/>
    <w:rsid w:val="3BE7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  <w:bdr w:val="none" w:color="auto" w:sz="0" w:space="0"/>
    </w:rPr>
  </w:style>
  <w:style w:type="character" w:styleId="7">
    <w:name w:val="Hyperlink"/>
    <w:basedOn w:val="5"/>
    <w:uiPriority w:val="0"/>
    <w:rPr>
      <w:color w:val="000000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2020-02-11T01:43:00Z</dcterms:created>
  <dc:creator>Administrator</dc:creator>
  <cp:lastModifiedBy>Administrator</cp:lastModifiedBy>
  <dcterms:modified xsi:type="dcterms:W3CDTF">2020-02-11T01:46:57Z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