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r>
        <w:rPr>
          <w:rFonts w:hint="eastAsia" w:ascii="方正小标宋简体" w:hAnsi="Calibri" w:eastAsia="方正小标宋简体" w:cs="黑体"/>
          <w:spacing w:val="-12"/>
          <w:sz w:val="40"/>
          <w:szCs w:val="40"/>
        </w:rPr>
        <w:t>关于7批次农产品不合格检验项目</w:t>
      </w:r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eastAsia="zh-CN"/>
        </w:rPr>
        <w:t>的</w:t>
      </w:r>
      <w:r>
        <w:rPr>
          <w:rFonts w:hint="eastAsia" w:ascii="方正小标宋简体" w:hAnsi="Calibri" w:eastAsia="方正小标宋简体" w:cs="黑体"/>
          <w:spacing w:val="-12"/>
          <w:sz w:val="40"/>
          <w:szCs w:val="40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Calibri" w:eastAsia="方正小标宋简体" w:cs="黑体"/>
          <w:spacing w:val="-12"/>
          <w:sz w:val="32"/>
          <w:szCs w:val="32"/>
        </w:rPr>
      </w:pPr>
      <w:r>
        <w:rPr>
          <w:rFonts w:hint="eastAsia" w:ascii="方正小标宋简体" w:hAnsi="Calibri" w:eastAsia="方正小标宋简体" w:cs="黑体"/>
          <w:spacing w:val="-12"/>
          <w:sz w:val="36"/>
          <w:szCs w:val="36"/>
        </w:rPr>
        <w:t>（2021年第1期）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.灭多威是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instrText xml:space="preserve"> HYPERLINK "http://www.so.com/s?q=%E6%B0%A8%E5%9F%BA%E7%94%B2%E9%85%B8%E9%85%AF%E7%B1%BB%E6%9D%80%E8%99%AB%E5%89%82&amp;ie=utf-8&amp;src=internal_wenda_recommend_textn" \t "https://wenda.so.com/q/_blank" </w:instrTex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氨基甲酸酯类杀虫剂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，属于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instrText xml:space="preserve"> HYPERLINK "http://www.so.com/s?q=%E9%AB%98%E6%AF%92%E5%86%9C%E8%8D%AF&amp;ie=utf-8&amp;src=internal_wenda_recommend_textn" \t "https://wenda.so.com/q/_blank" </w:instrTex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高毒农药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类，对鳞翅目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instrText xml:space="preserve"> HYPERLINK "http://www.so.com/s?q=%E5%AE%B3%E8%99%AB&amp;ie=utf-8&amp;src=internal_wenda_recommend_textn" \t "https://wenda.so.com/q/_blank" </w:instrTex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害虫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的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instrText xml:space="preserve"> HYPERLINK "http://www.so.com/s?q=%E5%B9%BC%E8%99%AB&amp;ie=utf-8&amp;src=internal_wenda_recommend_textn" \t "https://wenda.so.com/q/_blank" </w:instrTex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幼虫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instrText xml:space="preserve"> HYPERLINK "http://www.so.com/s?q=%E5%88%BA%E5%90%B8%E5%BC%8F%E5%8F%A3%E5%99%A8&amp;ie=utf-8&amp;src=internal_wenda_recommend_textn" \t "https://wenda.so.com/q/_blank" </w:instrTex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刺吸式口器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等害虫有特效。急性中毒症状有视力模糊、恶心、呕吐、腹泻、腹痛、昏迷等。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《食品安全国家标准食品中农药最大残留限量》（GB 2763-2019）规定，灭多威在香葱中的最大残留限量为0.2mg/kg。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2011年6月15日，</w:t>
      </w:r>
      <w:r>
        <w:rPr>
          <w:rFonts w:hint="eastAsia" w:ascii="Calibri" w:hAnsi="Calibri" w:eastAsia="仿宋_GB2312" w:cs="Times New Roman"/>
          <w:b w:val="0"/>
          <w:bCs/>
          <w:sz w:val="32"/>
          <w:szCs w:val="32"/>
          <w:u w:val="none"/>
          <w:lang w:val="en-US" w:eastAsia="zh-CN"/>
        </w:rPr>
        <w:t>原农业部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《中华人民共和国农业部公告第1586号》规定禁止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灭多威在柑橘树、苹果树、茶树、十字花科蔬菜上使用。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毒死蜱别名氯吡硫磷、氯蜱硫磷</w:t>
      </w:r>
      <w:r>
        <w:rPr>
          <w:rFonts w:hint="default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白色结晶，具有轻微的硫醇味，非内吸性广谱杀虫、杀螨剂，在土地中挥发性较高。毒死蜱属中等杀虫剂，具有触杀、胃毒和熏蒸作用。对眼睛有轻度刺激，对皮肤有明显刺激，长时间接触会产生灼伤。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 2763-2019）规定，毒死蜱在香葱中的最大残留限量为0.01mg/kg。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2013年12月9日，原农业部发布《中华人民共和国农业部公告第2032号》规定自2016年12月31日起禁止毒死蜱在蔬菜上使用。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氯霉素对骨髓造血机能有抑制作用，引起人的粒细胞缺乏病、再生障碍性贫血和溶血性贫血，对人产生致死效应。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2002年4月9日，原农业部发布《中华人民共和国农业部公告第193号》规定禁止氯霉素、及其盐、酯（包括琥珀氯霉素）及其制剂在所有食品动物中使用。2019年12月27日，农业农村部修订了食品动物中禁止使用的药品及其他化合物清单，发布《中华人民共和国农业农村部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告第250号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》明确规定禁止氯霉素及其盐、酯在所有食品动物中使用。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食品中兽药最大残留限量》（GB 31650-2019）规定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在所有动物源性食品中不得检出。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黑体"/>
          <w:kern w:val="0"/>
          <w:sz w:val="32"/>
          <w:szCs w:val="32"/>
        </w:rPr>
        <w:t>氯氰菊酯和高效氯氰菊酯是一种拟除虫菊酯类杀虫剂，具有广谱、高效、快速的作用特点，对害虫以触杀和胃毒为主。《食品安全国家标准 食品中农药最大残留限量》（GB 2763—201</w:t>
      </w:r>
      <w:r>
        <w:rPr>
          <w:rFonts w:hint="eastAsia" w:ascii="Times New Roman" w:hAnsi="Times New Roman" w:eastAsia="仿宋_GB2312" w:cs="黑体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黑体"/>
          <w:kern w:val="0"/>
          <w:sz w:val="32"/>
          <w:szCs w:val="32"/>
        </w:rPr>
        <w:t>）中规定，氯氰菊酯和高效氯氰菊酯在</w:t>
      </w:r>
      <w:r>
        <w:rPr>
          <w:rFonts w:hint="eastAsia" w:ascii="Times New Roman" w:hAnsi="Times New Roman" w:eastAsia="仿宋_GB2312" w:cs="黑体"/>
          <w:kern w:val="0"/>
          <w:sz w:val="32"/>
          <w:szCs w:val="32"/>
          <w:lang w:eastAsia="zh-CN"/>
        </w:rPr>
        <w:t>草莓</w:t>
      </w:r>
      <w:r>
        <w:rPr>
          <w:rFonts w:hint="eastAsia" w:ascii="Times New Roman" w:hAnsi="Times New Roman" w:eastAsia="仿宋_GB2312" w:cs="黑体"/>
          <w:kern w:val="0"/>
          <w:sz w:val="32"/>
          <w:szCs w:val="32"/>
        </w:rPr>
        <w:t>中的最大残留限量为</w:t>
      </w:r>
      <w:r>
        <w:rPr>
          <w:rFonts w:ascii="Times New Roman" w:hAnsi="Times New Roman" w:eastAsia="仿宋_GB2312" w:cs="黑体"/>
          <w:kern w:val="0"/>
          <w:sz w:val="32"/>
          <w:szCs w:val="32"/>
        </w:rPr>
        <w:t>0.</w:t>
      </w:r>
      <w:r>
        <w:rPr>
          <w:rFonts w:hint="eastAsia" w:ascii="Times New Roman" w:hAnsi="Times New Roman" w:eastAsia="仿宋_GB2312" w:cs="黑体"/>
          <w:kern w:val="0"/>
          <w:sz w:val="32"/>
          <w:szCs w:val="32"/>
          <w:lang w:val="en-US" w:eastAsia="zh-CN"/>
        </w:rPr>
        <w:t>07</w:t>
      </w:r>
      <w:r>
        <w:rPr>
          <w:rFonts w:hint="eastAsia" w:ascii="Times New Roman" w:hAnsi="Times New Roman" w:eastAsia="仿宋_GB2312" w:cs="黑体"/>
          <w:kern w:val="0"/>
          <w:sz w:val="32"/>
          <w:szCs w:val="32"/>
        </w:rPr>
        <w:t>mg/kg。氯氰菊酯和高效氯氰菊酯属于低毒农药，少量的农药残留不会引起人体急性中毒，但长期食用农药残留超标的食品，对人体健康有一定影响。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9" w:beforeAutospacing="0" w:after="89" w:afterAutospacing="0" w:line="600" w:lineRule="exact"/>
        <w:ind w:left="0" w:right="0" w:firstLine="48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7" w:h="16839"/>
      <w:pgMar w:top="1440" w:right="1800" w:bottom="1440" w:left="1800" w:header="851" w:footer="992" w:gutter="0"/>
      <w:pgNumType w:fmt="decimal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宋体" w:hAnsi="Times New Roman" w:eastAsia="宋体" w:cs="Times New Roman"/>
        <w:kern w:val="2"/>
        <w:sz w:val="18"/>
        <w:szCs w:val="21"/>
        <w:lang w:val="en-US" w:eastAsia="zh-CN" w:bidi="ar-SA"/>
      </w:rPr>
    </w:pPr>
    <w:r>
      <w:rPr>
        <w:rFonts w:ascii="宋体" w:hAnsi="Times New Roman" w:eastAsia="宋体" w:cs="Times New Roman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uto"/>
                            <w:jc w:val="left"/>
                            <w:rPr>
                              <w:rFonts w:hint="eastAsia" w:ascii="宋体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uto"/>
                      <w:jc w:val="left"/>
                      <w:rPr>
                        <w:rFonts w:hint="eastAsia" w:ascii="宋体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798B"/>
    <w:rsid w:val="237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2021-03-15T09:31:00Z</dcterms:created>
  <dc:creator>lenovo</dc:creator>
  <cp:lastModifiedBy>lenovo</cp:lastModifiedBy>
  <dcterms:modified xsi:type="dcterms:W3CDTF">2021-03-15T09:31:45Z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