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eastAsia="zh-CN"/>
        </w:rPr>
        <w:t>附件</w:t>
      </w:r>
      <w:r>
        <w:rPr>
          <w:rFonts w:hint="eastAsia" w:ascii="黑体" w:hAnsi="黑体" w:eastAsia="黑体" w:cs="黑体"/>
          <w:spacing w:val="-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pacing w:val="-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pacing w:val="-12"/>
          <w:sz w:val="40"/>
          <w:szCs w:val="40"/>
        </w:rPr>
      </w:pPr>
      <w:bookmarkStart w:id="0" w:name="_GoBack"/>
      <w:r>
        <w:rPr>
          <w:rFonts w:hint="default" w:ascii="Times New Roman" w:hAnsi="Times New Roman" w:eastAsia="方正小标宋简体" w:cs="Times New Roman"/>
          <w:spacing w:val="-12"/>
          <w:sz w:val="40"/>
          <w:szCs w:val="40"/>
        </w:rPr>
        <w:t>关于</w:t>
      </w:r>
      <w:r>
        <w:rPr>
          <w:rFonts w:hint="eastAsia" w:ascii="Times New Roman" w:hAnsi="Times New Roman" w:eastAsia="方正小标宋简体" w:cs="Times New Roman"/>
          <w:spacing w:val="-12"/>
          <w:sz w:val="40"/>
          <w:szCs w:val="40"/>
          <w:lang w:val="en-US" w:eastAsia="zh-CN"/>
        </w:rPr>
        <w:t>8批次</w:t>
      </w:r>
      <w:r>
        <w:rPr>
          <w:rFonts w:hint="default" w:ascii="Times New Roman" w:hAnsi="Times New Roman" w:eastAsia="方正小标宋简体" w:cs="Times New Roman"/>
          <w:spacing w:val="-12"/>
          <w:sz w:val="40"/>
          <w:szCs w:val="40"/>
        </w:rPr>
        <w:t>农产品不合格检验项目</w:t>
      </w:r>
      <w:r>
        <w:rPr>
          <w:rFonts w:hint="default" w:ascii="Times New Roman" w:hAnsi="Times New Roman" w:eastAsia="方正小标宋简体" w:cs="Times New Roman"/>
          <w:spacing w:val="-12"/>
          <w:sz w:val="40"/>
          <w:szCs w:val="40"/>
          <w:lang w:eastAsia="zh-CN"/>
        </w:rPr>
        <w:t>的</w:t>
      </w:r>
      <w:r>
        <w:rPr>
          <w:rFonts w:hint="default" w:ascii="Times New Roman" w:hAnsi="Times New Roman" w:eastAsia="方正小标宋简体" w:cs="Times New Roman"/>
          <w:spacing w:val="-12"/>
          <w:sz w:val="40"/>
          <w:szCs w:val="40"/>
        </w:rPr>
        <w:t>小知识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pacing w:val="-12"/>
          <w:sz w:val="32"/>
          <w:szCs w:val="32"/>
        </w:rPr>
      </w:pPr>
      <w:r>
        <w:rPr>
          <w:rFonts w:hint="default" w:ascii="Times New Roman" w:hAnsi="Times New Roman" w:eastAsia="方正小标宋简体" w:cs="Times New Roman"/>
          <w:spacing w:val="-12"/>
          <w:sz w:val="36"/>
          <w:szCs w:val="36"/>
        </w:rPr>
        <w:t>（2021年第</w:t>
      </w:r>
      <w:r>
        <w:rPr>
          <w:rFonts w:hint="default" w:ascii="Times New Roman" w:hAnsi="Times New Roman" w:eastAsia="方正小标宋简体" w:cs="Times New Roman"/>
          <w:spacing w:val="-12"/>
          <w:sz w:val="36"/>
          <w:szCs w:val="36"/>
          <w:lang w:val="en-US" w:eastAsia="zh-CN"/>
        </w:rPr>
        <w:t>3</w:t>
      </w:r>
      <w:r>
        <w:rPr>
          <w:rFonts w:hint="default" w:ascii="Times New Roman" w:hAnsi="Times New Roman" w:eastAsia="方正小标宋简体" w:cs="Times New Roman"/>
          <w:spacing w:val="-12"/>
          <w:sz w:val="36"/>
          <w:szCs w:val="36"/>
        </w:rPr>
        <w:t>期）</w:t>
      </w:r>
    </w:p>
    <w:bookmarkEnd w:id="0"/>
    <w:p>
      <w:pPr>
        <w:spacing w:line="594" w:lineRule="exact"/>
        <w:ind w:firstLine="640" w:firstLineChars="200"/>
        <w:rPr>
          <w:rFonts w:hint="default" w:ascii="Times New Roman" w:hAnsi="Times New Roman" w:eastAsia="黑体" w:cs="Times New Roman"/>
          <w:kern w:val="32"/>
          <w:sz w:val="32"/>
          <w:szCs w:val="32"/>
          <w:lang w:val="en-US" w:eastAsia="zh-CN"/>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黑体" w:cs="Times New Roman"/>
          <w:kern w:val="32"/>
          <w:sz w:val="32"/>
          <w:szCs w:val="32"/>
          <w:lang w:val="en-US" w:eastAsia="zh-CN"/>
        </w:rPr>
        <w:t>吡虫啉</w:t>
      </w:r>
    </w:p>
    <w:p>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吡虫啉是硝基亚甲基类</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"http://www.so.com/s?q=%E5%86%85%E5%90%B8%E6%9D%80%E8%99%AB%E5%89%82&amp;ie=utf-8&amp;src=internal_wenda_recommend_textn" \t "https://wenda.so.com/q/_blank"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内吸杀虫剂</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"http://www.so.com/s?q=%E7%83%9F%E9%85%B8&amp;ie=utf-8&amp;src=internal_wenda_recommend_textn" \t "https://wenda.so.com/q/_blank"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烟酸</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乙酰胆碱酯酶</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"http://www.so.com/s?q=%E5%8F%97%E4%BD%93&amp;ie=utf-8&amp;src=internal_wenda_recommend_textn" \t "https://wenda.so.com/q/_blank"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受体</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的作用体，是新一代氯代</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"http://www.so.com/s?q=%E5%B0%BC%E5%8F%A4%E4%B8%81&amp;ie=utf-8&amp;src=internal_wenda_recommend_textn" \t "https://wenda.so.com/q/_blank"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尼古丁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杀虫剂，具有广谱、高效、低毒、低残留，害虫不易产生抗性，对人、畜、植物和天敌安全等特点，并有触杀、胃毒和内吸多重药效。</w:t>
      </w:r>
      <w:r>
        <w:rPr>
          <w:rFonts w:hint="default" w:ascii="Times New Roman" w:hAnsi="Times New Roman" w:eastAsia="仿宋_GB2312" w:cs="Times New Roman"/>
          <w:color w:val="000000"/>
          <w:sz w:val="32"/>
          <w:szCs w:val="32"/>
        </w:rPr>
        <w:t>《食品安全国家标准 食品中农药最大残留限量》（GB 2763—2019）中规定，</w:t>
      </w:r>
      <w:r>
        <w:rPr>
          <w:rFonts w:hint="default" w:ascii="Times New Roman" w:hAnsi="Times New Roman" w:eastAsia="仿宋_GB2312" w:cs="Times New Roman"/>
          <w:sz w:val="32"/>
          <w:szCs w:val="32"/>
        </w:rPr>
        <w:t>吡虫啉</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叶菜类</w:t>
      </w:r>
      <w:r>
        <w:rPr>
          <w:rFonts w:hint="default" w:ascii="Times New Roman" w:hAnsi="Times New Roman" w:eastAsia="仿宋_GB2312" w:cs="Times New Roman"/>
          <w:color w:val="000000"/>
          <w:sz w:val="32"/>
          <w:szCs w:val="32"/>
        </w:rPr>
        <w:t>蔬菜中的最大残留限量为0.</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mg/kg。</w:t>
      </w:r>
    </w:p>
    <w:p>
      <w:pPr>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kern w:val="0"/>
          <w:sz w:val="32"/>
          <w:szCs w:val="32"/>
        </w:rPr>
        <w:t>毒死蜱</w:t>
      </w:r>
    </w:p>
    <w:p>
      <w:pPr>
        <w:keepNext w:val="0"/>
        <w:keepLines w:val="0"/>
        <w:pageBreakBefore w:val="0"/>
        <w:widowControl/>
        <w:kinsoku/>
        <w:wordWrap/>
        <w:overflowPunct/>
        <w:topLinePunct w:val="0"/>
        <w:autoSpaceDE/>
        <w:autoSpaceDN/>
        <w:bidi w:val="0"/>
        <w:adjustRightInd/>
        <w:snapToGrid/>
        <w:spacing w:before="0" w:after="0" w:line="600" w:lineRule="exact"/>
        <w:ind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lang w:val="en-US" w:eastAsia="zh-CN"/>
        </w:rPr>
        <w:t>毒死蜱别名氯吡硫磷、氯蜱硫磷，白色结晶，具有轻微的硫醇味，非内吸性广谱杀虫、杀螨剂，在土地中挥发性较高。毒死蜱属中等杀虫剂，具有触杀、胃毒和熏蒸作用。对眼睛有轻度刺激，对皮肤有明显刺激，长时间接触会产生灼伤。</w:t>
      </w:r>
      <w:r>
        <w:rPr>
          <w:rFonts w:hint="default" w:ascii="Times New Roman" w:hAnsi="Times New Roman" w:eastAsia="仿宋_GB2312" w:cs="Times New Roman"/>
          <w:sz w:val="32"/>
          <w:szCs w:val="32"/>
          <w:highlight w:val="none"/>
          <w:lang w:val="en-US" w:eastAsia="zh-CN"/>
        </w:rPr>
        <w:t>《食品安全国家标准食品中农药最大残留限量》（GB 2763-2019）规定，毒死蜱在</w:t>
      </w:r>
      <w:r>
        <w:rPr>
          <w:rFonts w:hint="eastAsia" w:ascii="Times New Roman" w:hAnsi="Times New Roman" w:eastAsia="仿宋_GB2312" w:cs="Times New Roman"/>
          <w:sz w:val="32"/>
          <w:szCs w:val="32"/>
          <w:highlight w:val="none"/>
          <w:lang w:val="en-US" w:eastAsia="zh-CN"/>
        </w:rPr>
        <w:t>叶菜类白菜</w:t>
      </w:r>
      <w:r>
        <w:rPr>
          <w:rFonts w:hint="default" w:ascii="Times New Roman" w:hAnsi="Times New Roman" w:eastAsia="仿宋_GB2312" w:cs="Times New Roman"/>
          <w:sz w:val="32"/>
          <w:szCs w:val="32"/>
          <w:highlight w:val="none"/>
          <w:lang w:val="en-US" w:eastAsia="zh-CN"/>
        </w:rPr>
        <w:t>中的最大残留限量为0.</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mg/kg。</w:t>
      </w:r>
    </w:p>
    <w:p>
      <w:pPr>
        <w:keepNext w:val="0"/>
        <w:keepLines w:val="0"/>
        <w:pageBreakBefore w:val="0"/>
        <w:widowControl/>
        <w:kinsoku/>
        <w:wordWrap/>
        <w:overflowPunct/>
        <w:topLinePunct w:val="0"/>
        <w:autoSpaceDE/>
        <w:autoSpaceDN/>
        <w:bidi w:val="0"/>
        <w:adjustRightInd/>
        <w:snapToGrid/>
        <w:spacing w:before="0" w:after="0" w:line="600" w:lineRule="exact"/>
        <w:ind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2013年12月9日，原农业部发布《中华人民共和国农业部公告第2032号》规定自2016年12月31日起禁止毒死蜱在蔬菜上使用。</w:t>
      </w:r>
    </w:p>
    <w:p>
      <w:pPr>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黑体" w:cs="Times New Roman"/>
          <w:kern w:val="0"/>
          <w:sz w:val="32"/>
          <w:szCs w:val="32"/>
        </w:rPr>
        <w:t>镉（以Cd计）</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镉是最常见的重金属元素污染物之一。《食品安全国家标准 食品中污染物限量》（GB 2762—2017）中规定，</w:t>
      </w:r>
      <w:r>
        <w:rPr>
          <w:rFonts w:hint="default" w:ascii="Times New Roman" w:hAnsi="Times New Roman" w:eastAsia="仿宋_GB2312" w:cs="Times New Roman"/>
          <w:kern w:val="0"/>
          <w:sz w:val="32"/>
          <w:szCs w:val="32"/>
          <w:lang w:eastAsia="zh-CN"/>
        </w:rPr>
        <w:t>香菇</w:t>
      </w:r>
      <w:r>
        <w:rPr>
          <w:rFonts w:hint="default" w:ascii="Times New Roman" w:hAnsi="Times New Roman" w:eastAsia="仿宋_GB2312" w:cs="Times New Roman"/>
          <w:kern w:val="0"/>
          <w:sz w:val="32"/>
          <w:szCs w:val="32"/>
        </w:rPr>
        <w:t>中镉的限量为0.</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mg/kg。</w:t>
      </w:r>
      <w:r>
        <w:rPr>
          <w:rFonts w:hint="default" w:ascii="Times New Roman" w:hAnsi="Times New Roman" w:eastAsia="仿宋_GB2312" w:cs="Times New Roman"/>
          <w:kern w:val="0"/>
          <w:sz w:val="32"/>
          <w:szCs w:val="32"/>
          <w:lang w:eastAsia="zh-CN"/>
        </w:rPr>
        <w:t>食用菌</w:t>
      </w:r>
      <w:r>
        <w:rPr>
          <w:rFonts w:hint="default" w:ascii="Times New Roman" w:hAnsi="Times New Roman" w:eastAsia="仿宋_GB2312" w:cs="Times New Roman"/>
          <w:kern w:val="0"/>
          <w:sz w:val="32"/>
          <w:szCs w:val="32"/>
        </w:rPr>
        <w:t>中镉超标的原因，可能是在种植过程中</w:t>
      </w:r>
      <w:r>
        <w:rPr>
          <w:rFonts w:hint="default" w:ascii="Times New Roman" w:hAnsi="Times New Roman" w:eastAsia="仿宋_GB2312" w:cs="Times New Roman"/>
          <w:kern w:val="0"/>
          <w:sz w:val="32"/>
          <w:szCs w:val="32"/>
          <w:lang w:eastAsia="zh-CN"/>
        </w:rPr>
        <w:t>食用菌</w:t>
      </w:r>
      <w:r>
        <w:rPr>
          <w:rFonts w:hint="default" w:ascii="Times New Roman" w:hAnsi="Times New Roman" w:eastAsia="仿宋_GB2312" w:cs="Times New Roman"/>
          <w:kern w:val="0"/>
          <w:sz w:val="32"/>
          <w:szCs w:val="32"/>
        </w:rPr>
        <w:t>对环境中镉元素的富集。</w:t>
      </w:r>
      <w:r>
        <w:rPr>
          <w:rFonts w:hint="default" w:ascii="Times New Roman" w:hAnsi="Times New Roman" w:eastAsia="仿宋_GB2312" w:cs="Times New Roman"/>
          <w:sz w:val="32"/>
          <w:szCs w:val="32"/>
        </w:rPr>
        <w:t>镉对人体的危害主要是慢性蓄积性，长期大量摄入镉含量超标的食品可能会导致肾和骨骼损伤等健康危害。</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4.恩诺沙星</w:t>
      </w:r>
    </w:p>
    <w:p>
      <w:pPr>
        <w:numPr>
          <w:ilvl w:val="0"/>
          <w:numId w:val="0"/>
        </w:numPr>
        <w:tabs>
          <w:tab w:val="left" w:pos="1094"/>
        </w:tabs>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恩诺沙星</w:t>
      </w:r>
      <w:r>
        <w:rPr>
          <w:rFonts w:hint="default" w:ascii="Times New Roman" w:hAnsi="Times New Roman" w:eastAsia="仿宋_GB2312" w:cs="Times New Roman"/>
          <w:snapToGrid w:val="0"/>
          <w:kern w:val="0"/>
          <w:sz w:val="32"/>
          <w:szCs w:val="32"/>
        </w:rPr>
        <w:t>属于氟喹诺酮类药物，是一类人工合成的广谱抗菌药，用于治疗动物的皮肤感染、呼吸道感染等，是动物专属用药。《食品安全国家标准 食品中兽药最大残留限量》（GB 31650—2019）中规定，恩诺沙星在</w:t>
      </w:r>
      <w:r>
        <w:rPr>
          <w:rFonts w:hint="default" w:ascii="Times New Roman" w:hAnsi="Times New Roman" w:eastAsia="仿宋_GB2312" w:cs="Times New Roman"/>
          <w:snapToGrid w:val="0"/>
          <w:kern w:val="0"/>
          <w:sz w:val="32"/>
          <w:szCs w:val="32"/>
          <w:lang w:eastAsia="zh-CN"/>
        </w:rPr>
        <w:t>猪</w:t>
      </w:r>
      <w:r>
        <w:rPr>
          <w:rFonts w:hint="default" w:ascii="Times New Roman" w:hAnsi="Times New Roman" w:eastAsia="仿宋_GB2312" w:cs="Times New Roman"/>
          <w:snapToGrid w:val="0"/>
          <w:kern w:val="0"/>
          <w:sz w:val="32"/>
          <w:szCs w:val="32"/>
        </w:rPr>
        <w:t>的肌肉中的最大残留限量为100μg/kg</w:t>
      </w:r>
      <w:r>
        <w:rPr>
          <w:rFonts w:hint="default" w:ascii="Times New Roman" w:hAnsi="Times New Roman" w:eastAsia="仿宋_GB2312" w:cs="Times New Roman"/>
          <w:snapToGrid w:val="0"/>
          <w:kern w:val="0"/>
          <w:sz w:val="32"/>
          <w:szCs w:val="32"/>
          <w:lang w:eastAsia="zh-CN"/>
        </w:rPr>
        <w:t>，但在产蛋鸡禁用</w:t>
      </w:r>
      <w:r>
        <w:rPr>
          <w:rFonts w:hint="default" w:ascii="Times New Roman" w:hAnsi="Times New Roman" w:eastAsia="仿宋_GB2312" w:cs="Times New Roman"/>
          <w:snapToGrid w:val="0"/>
          <w:kern w:val="0"/>
          <w:sz w:val="32"/>
          <w:szCs w:val="32"/>
          <w:lang w:val="en-US" w:eastAsia="zh-CN"/>
        </w:rPr>
        <w:t>（鸡蛋中不得检出）。</w:t>
      </w:r>
      <w:r>
        <w:rPr>
          <w:rFonts w:hint="default" w:ascii="Times New Roman" w:hAnsi="Times New Roman" w:eastAsia="仿宋_GB2312" w:cs="Times New Roman"/>
          <w:snapToGrid w:val="0"/>
          <w:kern w:val="0"/>
          <w:sz w:val="32"/>
          <w:szCs w:val="32"/>
        </w:rPr>
        <w:t>长期大量食用恩诺沙星残留超标的食品，可能会引起轻度胃肠道刺激或不适、头痛、头晕、睡眠不良等症状，严重者可能引起肝损伤。</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5.烯酰吗啉</w:t>
      </w:r>
    </w:p>
    <w:p>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32"/>
          <w:lang w:eastAsia="zh-CN"/>
        </w:rPr>
        <w:t>烯酰吗啉是一种新型内吸性专用低毒杀菌剂，其作用机制是破坏病菌细胞壁膜的形成，引起孢子囊壁的分解，而使病菌死亡。</w:t>
      </w:r>
      <w:r>
        <w:rPr>
          <w:rFonts w:hint="default" w:ascii="Times New Roman" w:hAnsi="Times New Roman" w:eastAsia="仿宋_GB2312" w:cs="Times New Roman"/>
          <w:color w:val="000000"/>
          <w:sz w:val="32"/>
          <w:szCs w:val="32"/>
        </w:rPr>
        <w:t>《食品安全国家标准 食品中农药最大残留限量》（GB 2763—2019）中规定，</w:t>
      </w:r>
      <w:r>
        <w:rPr>
          <w:rFonts w:hint="default" w:ascii="Times New Roman" w:hAnsi="Times New Roman" w:eastAsia="仿宋_GB2312" w:cs="Times New Roman"/>
          <w:snapToGrid w:val="0"/>
          <w:kern w:val="0"/>
          <w:sz w:val="32"/>
          <w:szCs w:val="32"/>
          <w:lang w:eastAsia="zh-CN"/>
        </w:rPr>
        <w:t>烯酰吗啉</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浆果类草莓</w:t>
      </w:r>
      <w:r>
        <w:rPr>
          <w:rFonts w:hint="default" w:ascii="Times New Roman" w:hAnsi="Times New Roman" w:eastAsia="仿宋_GB2312" w:cs="Times New Roman"/>
          <w:color w:val="000000"/>
          <w:sz w:val="32"/>
          <w:szCs w:val="32"/>
        </w:rPr>
        <w:t>中的最大残留限量为0.</w:t>
      </w:r>
      <w:r>
        <w:rPr>
          <w:rFonts w:hint="default" w:ascii="Times New Roman" w:hAnsi="Times New Roman" w:eastAsia="仿宋_GB2312" w:cs="Times New Roman"/>
          <w:color w:val="000000"/>
          <w:sz w:val="32"/>
          <w:szCs w:val="32"/>
          <w:lang w:val="en-US" w:eastAsia="zh-CN"/>
        </w:rPr>
        <w:t>05</w:t>
      </w:r>
      <w:r>
        <w:rPr>
          <w:rFonts w:hint="default" w:ascii="Times New Roman" w:hAnsi="Times New Roman" w:eastAsia="仿宋_GB2312" w:cs="Times New Roman"/>
          <w:color w:val="000000"/>
          <w:sz w:val="32"/>
          <w:szCs w:val="32"/>
        </w:rPr>
        <w:t>mg/kg。</w:t>
      </w:r>
    </w:p>
    <w:p>
      <w:pPr>
        <w:numPr>
          <w:ilvl w:val="0"/>
          <w:numId w:val="0"/>
        </w:numPr>
        <w:tabs>
          <w:tab w:val="left" w:pos="1094"/>
        </w:tabs>
        <w:spacing w:line="560" w:lineRule="exact"/>
        <w:ind w:firstLine="640" w:firstLineChars="200"/>
        <w:rPr>
          <w:rFonts w:hint="default" w:ascii="仿宋_GB2312" w:hAnsi="Times New Roman" w:eastAsia="仿宋_GB2312" w:cs="Times New Roman"/>
          <w:snapToGrid w:val="0"/>
          <w:kern w:val="0"/>
          <w:sz w:val="32"/>
          <w:szCs w:val="32"/>
          <w:lang w:eastAsia="zh-CN"/>
        </w:rPr>
      </w:pPr>
    </w:p>
    <w:p/>
    <w:sectPr>
      <w:footerReference r:id="rId3" w:type="default"/>
      <w:pgSz w:w="11906" w:h="16838"/>
      <w:pgMar w:top="1440" w:right="1474" w:bottom="1984"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60050"/>
    <w:rsid w:val="6506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2021-08-03T03:53:00Z</dcterms:created>
  <dc:creator>飞</dc:creator>
  <cp:lastModifiedBy>飞</cp:lastModifiedBy>
  <dcterms:modified xsi:type="dcterms:W3CDTF">2021-08-03T03:54:00Z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