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0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22年X月贵州省农资打假情况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统计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表</w:t>
      </w:r>
      <w:bookmarkEnd w:id="0"/>
    </w:p>
    <w:tbl>
      <w:tblPr>
        <w:tblStyle w:val="5"/>
        <w:tblW w:w="14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706"/>
        <w:gridCol w:w="822"/>
        <w:gridCol w:w="714"/>
        <w:gridCol w:w="1113"/>
        <w:gridCol w:w="1101"/>
        <w:gridCol w:w="1063"/>
        <w:gridCol w:w="1146"/>
        <w:gridCol w:w="1008"/>
        <w:gridCol w:w="933"/>
        <w:gridCol w:w="286"/>
        <w:gridCol w:w="1125"/>
        <w:gridCol w:w="1024"/>
        <w:gridCol w:w="1067"/>
        <w:gridCol w:w="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36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4378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4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227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4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立案数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（件）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办结案件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出动执法人员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（人/次）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检查企业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（家/次）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受理举报案件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（件）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摧毁窝点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2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查获数量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（公斤）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货值金额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移送司法机关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逮捕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4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（件）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罚没金额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（件）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涉案金额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1种子(含种苗、种畜禽)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2肥料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3农药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其中：草甘膦等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除草剂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4饲料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5兽药(含水产兽药)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6地膜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4740" w:type="dxa"/>
            <w:gridSpan w:val="15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执法机构负责人 ：               填表人：                                联系电话：                          邮箱 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7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注：种子、肥料、农药、饲料、兽药农资品种单位按公斤计算。移送司法机关的还要报送案件详情。此表由各地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执法机构填报,于每月3日前将上月立案和办结案件情况报送市（州）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执法机构，各市(州)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执法机构于每月5日汇总报送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省级行政执法机构。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市场监管部门填写第2项肥料和第6项地膜。</w:t>
            </w:r>
          </w:p>
        </w:tc>
      </w:tr>
    </w:tbl>
    <w:p/>
    <w:sectPr>
      <w:pgSz w:w="16838" w:h="11906" w:orient="landscape"/>
      <w:pgMar w:top="1531" w:right="124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74881"/>
    <w:rsid w:val="67D7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rFonts w:ascii="Times New Roman" w:hAnsi="Times New Roman" w:cs="Times New Roman"/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2022-03-03T02:21:00Z</dcterms:created>
  <dc:creator>ω・）平平无奇大瑞君</dc:creator>
  <cp:lastModifiedBy>ω・）平平无奇大瑞君</cp:lastModifiedBy>
  <dcterms:modified xsi:type="dcterms:W3CDTF">2022-03-03T02:27:20Z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39017FFEBD4C4196B616281D6F04D68F</vt:lpwstr>
  </property>
</Properties>
</file>